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S2SRN-LAB2BD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S2SRN-LAB2BD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840b8597074a1370f91aacef22c9de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S2SRN-LAB2BD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H5550006048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