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GBA2H.112A105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GBA2H.112A105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1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d32be7f185c32f4859dc5f9dd8fd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GBA2H.112A105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11096561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845908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845908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